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640C4" w:rsidRDefault="000A4631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4631">
        <w:rPr>
          <w:rFonts w:ascii="Times New Roman" w:hAnsi="Times New Roman" w:cs="Times New Roman"/>
          <w:b/>
          <w:sz w:val="24"/>
          <w:szCs w:val="24"/>
        </w:rPr>
        <w:t>2</w:t>
      </w:r>
      <w:r w:rsidR="001640C4" w:rsidRPr="000A4631">
        <w:rPr>
          <w:rFonts w:ascii="Times New Roman" w:hAnsi="Times New Roman" w:cs="Times New Roman"/>
          <w:b/>
          <w:sz w:val="24"/>
          <w:szCs w:val="24"/>
        </w:rPr>
        <w:t>.</w:t>
      </w:r>
      <w:r w:rsidR="001640C4">
        <w:rPr>
          <w:rFonts w:ascii="Times New Roman" w:hAnsi="Times New Roman" w:cs="Times New Roman"/>
          <w:b/>
          <w:sz w:val="24"/>
          <w:szCs w:val="24"/>
        </w:rPr>
        <w:t xml:space="preserve"> napirend</w:t>
      </w:r>
    </w:p>
    <w:p w:rsidR="001640C4" w:rsidRDefault="001640C4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 l ő t e r j e s z t é s</w:t>
      </w:r>
    </w:p>
    <w:p w:rsidR="00E36990" w:rsidRDefault="00E36990" w:rsidP="000A4631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4631" w:rsidRDefault="001640C4" w:rsidP="000A4631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Révfülöp Nagyközség Önkormányzat képviselő-testület</w:t>
      </w:r>
    </w:p>
    <w:p w:rsidR="001640C4" w:rsidRDefault="00E36990" w:rsidP="000A4631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2019. </w:t>
      </w:r>
      <w:r w:rsidR="00215193">
        <w:rPr>
          <w:rFonts w:ascii="Times New Roman" w:hAnsi="Times New Roman" w:cs="Times New Roman"/>
          <w:b/>
          <w:sz w:val="24"/>
          <w:szCs w:val="24"/>
        </w:rPr>
        <w:t>december</w:t>
      </w:r>
      <w:r w:rsidR="005A7A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4631">
        <w:rPr>
          <w:rFonts w:ascii="Times New Roman" w:hAnsi="Times New Roman" w:cs="Times New Roman"/>
          <w:b/>
          <w:sz w:val="24"/>
          <w:szCs w:val="24"/>
        </w:rPr>
        <w:t>12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-</w:t>
      </w:r>
      <w:r w:rsidR="001640C4">
        <w:rPr>
          <w:rFonts w:ascii="Times New Roman" w:hAnsi="Times New Roman" w:cs="Times New Roman"/>
          <w:b/>
          <w:sz w:val="24"/>
          <w:szCs w:val="24"/>
        </w:rPr>
        <w:t>i ülésére</w:t>
      </w:r>
    </w:p>
    <w:p w:rsidR="001640C4" w:rsidRDefault="001640C4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0C4" w:rsidRDefault="001640C4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Tárgy: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5500">
        <w:rPr>
          <w:rFonts w:ascii="Times New Roman" w:hAnsi="Times New Roman" w:cs="Times New Roman"/>
          <w:b/>
          <w:sz w:val="24"/>
          <w:szCs w:val="24"/>
        </w:rPr>
        <w:t xml:space="preserve">Módosított </w:t>
      </w:r>
      <w:r>
        <w:rPr>
          <w:rFonts w:ascii="Times New Roman" w:hAnsi="Times New Roman" w:cs="Times New Roman"/>
          <w:b/>
          <w:sz w:val="24"/>
          <w:szCs w:val="24"/>
        </w:rPr>
        <w:t>Költségvetéshez kapcsolódó tájékoztatási kötelezettség</w:t>
      </w:r>
    </w:p>
    <w:p w:rsidR="001640C4" w:rsidRDefault="001640C4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Előterjesztő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3699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Kondor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Géza polgármester</w:t>
      </w:r>
    </w:p>
    <w:p w:rsidR="00E36990" w:rsidRDefault="001640C4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Előkészítette: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6990">
        <w:rPr>
          <w:rFonts w:ascii="Times New Roman" w:hAnsi="Times New Roman" w:cs="Times New Roman"/>
          <w:sz w:val="24"/>
          <w:szCs w:val="24"/>
        </w:rPr>
        <w:t xml:space="preserve">Molnárné </w:t>
      </w:r>
      <w:proofErr w:type="spellStart"/>
      <w:r w:rsidR="00E36990">
        <w:rPr>
          <w:rFonts w:ascii="Times New Roman" w:hAnsi="Times New Roman" w:cs="Times New Roman"/>
          <w:sz w:val="24"/>
          <w:szCs w:val="24"/>
        </w:rPr>
        <w:t>Vagányi</w:t>
      </w:r>
      <w:proofErr w:type="spellEnd"/>
      <w:r w:rsidR="00E36990">
        <w:rPr>
          <w:rFonts w:ascii="Times New Roman" w:hAnsi="Times New Roman" w:cs="Times New Roman"/>
          <w:sz w:val="24"/>
          <w:szCs w:val="24"/>
        </w:rPr>
        <w:t xml:space="preserve"> Diána pénzügyi ügyintéző</w:t>
      </w:r>
    </w:p>
    <w:p w:rsidR="00E36990" w:rsidRDefault="00E36990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40C4" w:rsidRDefault="00B05D2D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15193">
        <w:rPr>
          <w:rFonts w:ascii="Times New Roman" w:hAnsi="Times New Roman" w:cs="Times New Roman"/>
          <w:sz w:val="24"/>
          <w:szCs w:val="24"/>
        </w:rPr>
        <w:tab/>
      </w:r>
      <w:r w:rsidR="001640C4">
        <w:rPr>
          <w:rFonts w:ascii="Times New Roman" w:hAnsi="Times New Roman" w:cs="Times New Roman"/>
          <w:sz w:val="24"/>
          <w:szCs w:val="24"/>
        </w:rPr>
        <w:t xml:space="preserve">Jogszabállyal nem ellentétes </w:t>
      </w:r>
    </w:p>
    <w:p w:rsidR="001640C4" w:rsidRDefault="001640C4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215193">
        <w:rPr>
          <w:rFonts w:ascii="Times New Roman" w:eastAsia="Times New Roman" w:hAnsi="Times New Roman" w:cs="Times New Roman"/>
          <w:sz w:val="24"/>
          <w:szCs w:val="24"/>
        </w:rPr>
        <w:tab/>
      </w:r>
      <w:r w:rsidR="0021519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…………………</w:t>
      </w:r>
    </w:p>
    <w:p w:rsidR="00C62CB3" w:rsidRPr="00C62CB3" w:rsidRDefault="00C62CB3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15193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215193">
        <w:rPr>
          <w:rFonts w:ascii="Times New Roman" w:hAnsi="Times New Roman" w:cs="Times New Roman"/>
          <w:sz w:val="24"/>
          <w:szCs w:val="24"/>
        </w:rPr>
        <w:t>Dr. Szabó Tímea jegyző</w:t>
      </w:r>
    </w:p>
    <w:p w:rsidR="001640C4" w:rsidRDefault="001640C4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640C4" w:rsidRDefault="001640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0C4" w:rsidRDefault="001640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Tisztelt Képviselő-testület!</w:t>
      </w:r>
    </w:p>
    <w:p w:rsidR="00426D3B" w:rsidRDefault="00426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40C4" w:rsidRDefault="001640C4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államháztartásról szóló 2011. évi CXCV. törvény (a továbbiakban: Áht.) 24. § (4) bekezdése alapján a költségvetés előterjesztésekor a képviselő-testület részére tájékoztatásul a következő mérlegeket és kimutatásokat kell - szöveges indokolással együtt - bemutatni:</w:t>
      </w:r>
    </w:p>
    <w:p w:rsidR="001640C4" w:rsidRDefault="001640C4">
      <w:pPr>
        <w:spacing w:after="0" w:line="240" w:lineRule="auto"/>
        <w:ind w:left="150" w:right="150" w:firstLine="2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bookmarkStart w:id="1" w:name="pr312"/>
      <w:bookmarkEnd w:id="1"/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helyi önkormányzat költségvetési mérlegét közgazdasági tagolásban, előirányzat felhasználási tervét,</w:t>
      </w:r>
    </w:p>
    <w:p w:rsidR="001640C4" w:rsidRDefault="001640C4">
      <w:pPr>
        <w:spacing w:after="0" w:line="240" w:lineRule="auto"/>
        <w:ind w:left="150" w:right="150" w:firstLine="2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bookmarkStart w:id="2" w:name="pr313"/>
      <w:bookmarkEnd w:id="2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b) </w:t>
      </w:r>
      <w:r>
        <w:rPr>
          <w:rFonts w:ascii="Times New Roman" w:eastAsia="Times New Roman" w:hAnsi="Times New Roman" w:cs="Times New Roman"/>
          <w:sz w:val="24"/>
          <w:szCs w:val="24"/>
        </w:rPr>
        <w:t>a többéves kihatással járó döntések számszerűsítését évenkénti bontásban és összesítve,</w:t>
      </w:r>
    </w:p>
    <w:p w:rsidR="001640C4" w:rsidRDefault="001640C4">
      <w:pPr>
        <w:spacing w:after="0" w:line="240" w:lineRule="auto"/>
        <w:ind w:left="150" w:right="150" w:firstLine="2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bookmarkStart w:id="3" w:name="pr314"/>
      <w:bookmarkEnd w:id="3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c) </w:t>
      </w:r>
      <w:r>
        <w:rPr>
          <w:rFonts w:ascii="Times New Roman" w:eastAsia="Times New Roman" w:hAnsi="Times New Roman" w:cs="Times New Roman"/>
          <w:sz w:val="24"/>
          <w:szCs w:val="24"/>
        </w:rPr>
        <w:t>a közvetett támogatásokat - így különösen adóelengedéseket, adókedvezményeket - tartalmazó kimutatást, és</w:t>
      </w:r>
    </w:p>
    <w:p w:rsidR="001640C4" w:rsidRDefault="001640C4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pr315"/>
      <w:bookmarkEnd w:id="4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d) </w:t>
      </w:r>
      <w:r>
        <w:rPr>
          <w:rFonts w:ascii="Times New Roman" w:eastAsia="Times New Roman" w:hAnsi="Times New Roman" w:cs="Times New Roman"/>
          <w:sz w:val="24"/>
          <w:szCs w:val="24"/>
        </w:rPr>
        <w:t>a 29/A. § szerinti tervszámoknak megfelelően a költségvetési évet követő három év tervezett előirányzatainak keretszámait főbb csoportokban, és a 29/A. § szerinti tervszámoktól történő esetleges eltérés indokait.</w:t>
      </w:r>
    </w:p>
    <w:p w:rsidR="001640C4" w:rsidRDefault="001640C4">
      <w:pPr>
        <w:autoSpaceDE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40C4" w:rsidRDefault="001640C4">
      <w:pPr>
        <w:autoSpaceDE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Az államháztartásról szóló 368/2011. (XII. 31.) Korm. rendelet 28. § alapján az Áht. 24. § (4) bekezdés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c) </w:t>
      </w:r>
      <w:r>
        <w:rPr>
          <w:rFonts w:ascii="Times New Roman" w:eastAsia="Times New Roman" w:hAnsi="Times New Roman" w:cs="Times New Roman"/>
          <w:sz w:val="24"/>
          <w:szCs w:val="24"/>
        </w:rPr>
        <w:t>pontja szerinti közvetett támogatásokat legalább az alábbi részletezettségben kell bemutatni:</w:t>
      </w:r>
    </w:p>
    <w:p w:rsidR="001640C4" w:rsidRDefault="001640C4">
      <w:pPr>
        <w:autoSpaceDE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az ellátottak térítési díjának, kártérítésének méltányossági alapon történő elengedésének összege,</w:t>
      </w:r>
    </w:p>
    <w:p w:rsidR="001640C4" w:rsidRDefault="001640C4">
      <w:pPr>
        <w:autoSpaceDE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b) </w:t>
      </w:r>
      <w:r>
        <w:rPr>
          <w:rFonts w:ascii="Times New Roman" w:eastAsia="Times New Roman" w:hAnsi="Times New Roman" w:cs="Times New Roman"/>
          <w:sz w:val="24"/>
          <w:szCs w:val="24"/>
        </w:rPr>
        <w:t>a lakosság részére lakásépítéshez, lakásfelújításhoz nyújtott kölcsönök elengedésének összege,</w:t>
      </w:r>
    </w:p>
    <w:p w:rsidR="001640C4" w:rsidRDefault="001640C4">
      <w:pPr>
        <w:autoSpaceDE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c) </w:t>
      </w:r>
      <w:r>
        <w:rPr>
          <w:rFonts w:ascii="Times New Roman" w:eastAsia="Times New Roman" w:hAnsi="Times New Roman" w:cs="Times New Roman"/>
          <w:sz w:val="24"/>
          <w:szCs w:val="24"/>
        </w:rPr>
        <w:t>a helyi adónál, gépjárműadónál biztosított kedvezmény, mentesség összege adónemenként,</w:t>
      </w:r>
    </w:p>
    <w:p w:rsidR="001640C4" w:rsidRDefault="001640C4">
      <w:pPr>
        <w:autoSpaceDE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d) </w:t>
      </w:r>
      <w:r>
        <w:rPr>
          <w:rFonts w:ascii="Times New Roman" w:eastAsia="Times New Roman" w:hAnsi="Times New Roman" w:cs="Times New Roman"/>
          <w:sz w:val="24"/>
          <w:szCs w:val="24"/>
        </w:rPr>
        <w:t>a helyiségek, eszközök hasznosításából származó bevételből nyújtott kedvezmény, mentesség összege, és</w:t>
      </w:r>
    </w:p>
    <w:p w:rsidR="001640C4" w:rsidRDefault="001640C4">
      <w:pPr>
        <w:autoSpaceDE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az egyéb nyújtott kedvezmény vagy kölcsön elengedésének összege.</w:t>
      </w:r>
    </w:p>
    <w:p w:rsidR="001640C4" w:rsidRDefault="001640C4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40C4" w:rsidRDefault="001640C4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fentiek szerint előírt tájékoztatást, illetve annak szöveges indokolását jelen előterjesztés, a számszaki adatokat a jelen előterjesztéshez csatolt táblázatok tartalmazzák.</w:t>
      </w:r>
    </w:p>
    <w:p w:rsidR="001640C4" w:rsidRDefault="001640C4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640C4" w:rsidRDefault="001640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66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Az Önkormányzat költségvetési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mérlege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a korábbi évek gyakorlatának megfelelően a költségvetési rendeletbe került beépítésre. A mérleg tartalmazza a megállapított bevételi főösszeg</w:t>
      </w:r>
      <w:r w:rsidR="00426D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jogcím-csoportonkénti részletezését, valamint a megállapított kiadási főösszeg részletezését kiemelt előirányzatonként.</w:t>
      </w:r>
    </w:p>
    <w:p w:rsidR="001640C4" w:rsidRDefault="001640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Az Önkormányzatnak jelenleg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többéves kihatással, anyagi kötelezettséggel járó döntése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nincs. </w:t>
      </w:r>
    </w:p>
    <w:p w:rsidR="001640C4" w:rsidRDefault="001640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40C4" w:rsidRDefault="001640C4">
      <w:pPr>
        <w:suppressAutoHyphens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Közvetett támogatások</w:t>
      </w:r>
    </w:p>
    <w:p w:rsidR="001640C4" w:rsidRDefault="001640C4">
      <w:pPr>
        <w:suppressAutoHyphens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építményadó esetében:</w:t>
      </w:r>
    </w:p>
    <w:p w:rsidR="001640C4" w:rsidRDefault="001640C4">
      <w:pPr>
        <w:suppressAutoHyphens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mentes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az építményadó alól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 13/2014(XI.26.)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önkormányzati rendelet alapján:</w:t>
      </w:r>
    </w:p>
    <w:p w:rsidR="001640C4" w:rsidRDefault="001640C4">
      <w:pPr>
        <w:suppressAutoHyphens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a lakás hasznos alapterületének 70 %-a;</w:t>
      </w:r>
    </w:p>
    <w:p w:rsidR="001640C4" w:rsidRDefault="001640C4">
      <w:pPr>
        <w:suppressAutoHyphens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az életvitelszerű tartózkodására szolgáló új építésű lakás a használatbavételi engedély</w:t>
      </w:r>
    </w:p>
    <w:p w:rsidR="001640C4" w:rsidRDefault="001640C4">
      <w:pPr>
        <w:suppressAutoHyphens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kiadásától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számított 10 évig;</w:t>
      </w:r>
    </w:p>
    <w:p w:rsidR="001640C4" w:rsidRDefault="001640C4">
      <w:pPr>
        <w:suppressAutoHyphens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az építményhez tartozó fedett és három oldalról zárt külső tartózkodók és a fedett terasz,</w:t>
      </w:r>
    </w:p>
    <w:p w:rsidR="001640C4" w:rsidRDefault="001640C4">
      <w:pPr>
        <w:suppressAutoHyphens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tornác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640C4" w:rsidRDefault="001640C4">
      <w:pPr>
        <w:suppressAutoHyphens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a lakáshoz tartozó gépjárműtároló hasznos alapterületéből 18 m2;</w:t>
      </w:r>
    </w:p>
    <w:p w:rsidR="001640C4" w:rsidRDefault="001640C4">
      <w:pPr>
        <w:suppressAutoHyphens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 a külterületi épület hasznos alapterületének 10 %-a.</w:t>
      </w:r>
    </w:p>
    <w:p w:rsidR="001640C4" w:rsidRDefault="001640C4">
      <w:pPr>
        <w:suppressAutoHyphens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A mentesség nem vonatkozik az üdülési célra szolgáló lakásra.</w:t>
      </w:r>
    </w:p>
    <w:p w:rsidR="001640C4" w:rsidRDefault="001640C4">
      <w:pPr>
        <w:suppressAutoHyphens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mentesség becsült összege 2.900.000 Ft.</w:t>
      </w:r>
    </w:p>
    <w:p w:rsidR="001640C4" w:rsidRDefault="001640C4" w:rsidP="001264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40C4" w:rsidRDefault="001640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gépjárműadóról szóló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1991. évi LXXXII</w:t>
      </w:r>
      <w:r>
        <w:rPr>
          <w:rFonts w:ascii="Times New Roman" w:eastAsia="Times New Roman" w:hAnsi="Times New Roman" w:cs="Times New Roman"/>
          <w:sz w:val="24"/>
          <w:szCs w:val="24"/>
        </w:rPr>
        <w:t>. törvény. 5.§ (f) pontja alapján a súlyos mozgáskorlátozott vagy egyéb fogyatékossággal élő adóalany, valamint a súlyos mozgáskorlátozott vagy egyéb fogyatékossággal élő személyt rendszeresen szállító,</w:t>
      </w:r>
      <w:r w:rsidR="00E36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vele közös háztartásban élő közeli hozzátartozó adóalany (továbbiakban együtt mentességre jogosult adóalany) egy darab - 100 kW teljesítményt meg nem haladó, nem a külön jogszabály szerint személytaxi-szolgáltatásra és személygépkocsis személyszállító szolgáltatásra használt – személygépkocsija után legfeljebb 13.000 Ft/ adóév erejéig. Ha a mentességre jogosult adóalany adóalanyisága és adókötelezettsége az adóévben több személygépkocsi után is fennáll, akkor a mentesség kizárólag egy, a legkisebb teljesítményű személygépkocsi után jár.</w:t>
      </w:r>
    </w:p>
    <w:p w:rsidR="001640C4" w:rsidRPr="00426D3B" w:rsidRDefault="001640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640C4" w:rsidRDefault="001640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00"/>
        </w:rPr>
      </w:pPr>
    </w:p>
    <w:p w:rsidR="001640C4" w:rsidRDefault="00426D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Módosított e</w:t>
      </w:r>
      <w:r w:rsidR="001640C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lőirányzat felhasználási ütemterv: </w:t>
      </w:r>
    </w:p>
    <w:p w:rsidR="001640C4" w:rsidRDefault="001640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40C4" w:rsidRDefault="001640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előirányzat felhasználási ütemterv bevételeinek esetében nagyrészt az éves összeg 12 részre osztásával történt a tervezés. A saját bevételeken belül a helyi adó bevételek március, szeptember hónapban történő befizetése miatt emelkedés várható.</w:t>
      </w:r>
    </w:p>
    <w:p w:rsidR="001640C4" w:rsidRDefault="001640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40C4" w:rsidRDefault="001640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kiadási oldal tekintetében a működési kiadások, valamint a működési célú pénzeszköz átadások esetében is - az év egészében - havonta közel azonos összeggel terveztünk. Ezen kiadások ugyanis nagyrészt havi rendszerességgel előfordulnak, illetve felmerülésük időpontja bizonytalan.</w:t>
      </w:r>
    </w:p>
    <w:p w:rsidR="001640C4" w:rsidRDefault="001640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beruházási és felújítási kiadások esetében az előirányzatok felhasználása az áthúzódó munkák miatt szinte folyamatos.</w:t>
      </w:r>
    </w:p>
    <w:p w:rsidR="001640C4" w:rsidRDefault="001640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40C4" w:rsidRDefault="001640C4" w:rsidP="00E36990">
      <w:pPr>
        <w:pStyle w:val="NormlWeb"/>
        <w:autoSpaceDE w:val="0"/>
        <w:spacing w:before="0" w:after="0"/>
        <w:ind w:right="147"/>
        <w:jc w:val="both"/>
      </w:pPr>
      <w:r>
        <w:t>Az Áht. 29/A. § szerinti tervszámoknak megfelelően a költségvetési évet követő három év tervezett előirányzatainak keretszámait a tájékoztatási kötelezettség elnevezésű melléklet tartalmazza.</w:t>
      </w:r>
    </w:p>
    <w:p w:rsidR="001264B7" w:rsidRDefault="001264B7" w:rsidP="001264B7">
      <w:pPr>
        <w:pStyle w:val="NormlWeb"/>
        <w:autoSpaceDE w:val="0"/>
        <w:spacing w:before="0" w:after="0" w:line="360" w:lineRule="auto"/>
        <w:ind w:right="150"/>
        <w:jc w:val="both"/>
      </w:pPr>
    </w:p>
    <w:p w:rsidR="001640C4" w:rsidRDefault="001640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Révfülöp, </w:t>
      </w:r>
      <w:r w:rsidR="00E36990">
        <w:rPr>
          <w:rFonts w:ascii="Times New Roman" w:eastAsia="Times New Roman" w:hAnsi="Times New Roman" w:cs="Times New Roman"/>
          <w:sz w:val="24"/>
          <w:szCs w:val="24"/>
        </w:rPr>
        <w:t xml:space="preserve">2019. </w:t>
      </w:r>
      <w:r w:rsidR="00215193">
        <w:rPr>
          <w:rFonts w:ascii="Times New Roman" w:eastAsia="Times New Roman" w:hAnsi="Times New Roman" w:cs="Times New Roman"/>
          <w:sz w:val="24"/>
          <w:szCs w:val="24"/>
        </w:rPr>
        <w:t>november 26.</w:t>
      </w:r>
    </w:p>
    <w:p w:rsidR="001640C4" w:rsidRDefault="001640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40C4" w:rsidRDefault="001640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Kondor Géza</w:t>
      </w:r>
    </w:p>
    <w:p w:rsidR="001640C4" w:rsidRDefault="001640C4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polgármester</w:t>
      </w:r>
      <w:proofErr w:type="gramEnd"/>
    </w:p>
    <w:sectPr w:rsidR="001640C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CBB" w:rsidRDefault="00BD7CBB">
      <w:pPr>
        <w:spacing w:after="0" w:line="240" w:lineRule="auto"/>
      </w:pPr>
      <w:r>
        <w:separator/>
      </w:r>
    </w:p>
  </w:endnote>
  <w:endnote w:type="continuationSeparator" w:id="0">
    <w:p w:rsidR="00BD7CBB" w:rsidRDefault="00BD7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0C4" w:rsidRDefault="001640C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0C4" w:rsidRDefault="001640C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CBB" w:rsidRDefault="00BD7CBB">
      <w:pPr>
        <w:spacing w:after="0" w:line="240" w:lineRule="auto"/>
      </w:pPr>
      <w:r>
        <w:separator/>
      </w:r>
    </w:p>
  </w:footnote>
  <w:footnote w:type="continuationSeparator" w:id="0">
    <w:p w:rsidR="00BD7CBB" w:rsidRDefault="00BD7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0C4" w:rsidRDefault="001640C4">
    <w:pPr>
      <w:spacing w:after="0" w:line="240" w:lineRule="aut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0C4" w:rsidRDefault="001640C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12A"/>
    <w:rsid w:val="00025500"/>
    <w:rsid w:val="000A4631"/>
    <w:rsid w:val="001264B7"/>
    <w:rsid w:val="001640C4"/>
    <w:rsid w:val="00215193"/>
    <w:rsid w:val="00406160"/>
    <w:rsid w:val="00426D3B"/>
    <w:rsid w:val="004D7E96"/>
    <w:rsid w:val="004E38E8"/>
    <w:rsid w:val="0051712A"/>
    <w:rsid w:val="005A7AFB"/>
    <w:rsid w:val="006C18D1"/>
    <w:rsid w:val="006E5195"/>
    <w:rsid w:val="00B05D2D"/>
    <w:rsid w:val="00BD7CBB"/>
    <w:rsid w:val="00BE0B71"/>
    <w:rsid w:val="00C62CB3"/>
    <w:rsid w:val="00D03DB8"/>
    <w:rsid w:val="00E00059"/>
    <w:rsid w:val="00E36990"/>
    <w:rsid w:val="00E81510"/>
    <w:rsid w:val="00EB640F"/>
    <w:rsid w:val="00F174E2"/>
    <w:rsid w:val="00FB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09E503A-ACD6-4D35-88ED-BC3866804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Cmsor1">
    <w:name w:val="heading 1"/>
    <w:basedOn w:val="Cmsor"/>
    <w:next w:val="Szvegtrzs"/>
    <w:qFormat/>
    <w:pPr>
      <w:numPr>
        <w:numId w:val="2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Cmsor"/>
    <w:next w:val="Szvegtrzs"/>
    <w:qFormat/>
    <w:pPr>
      <w:numPr>
        <w:ilvl w:val="1"/>
        <w:numId w:val="2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Cmsor"/>
    <w:next w:val="Szvegtrzs"/>
    <w:qFormat/>
    <w:pPr>
      <w:numPr>
        <w:ilvl w:val="2"/>
        <w:numId w:val="2"/>
      </w:numPr>
      <w:spacing w:before="140"/>
      <w:outlineLvl w:val="2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Bekezdsalapbettpusa3">
    <w:name w:val="Bekezdés alapbetűtípusa3"/>
  </w:style>
  <w:style w:type="character" w:customStyle="1" w:styleId="Bekezdsalapbettpusa2">
    <w:name w:val="Bekezdés alapbetűtípusa2"/>
  </w:style>
  <w:style w:type="character" w:customStyle="1" w:styleId="Bekezdsalapbettpusa1">
    <w:name w:val="Bekezdés alapbetűtípusa1"/>
  </w:style>
  <w:style w:type="character" w:customStyle="1" w:styleId="lfejChar">
    <w:name w:val="Élőfej Char"/>
    <w:basedOn w:val="Bekezdsalapbettpusa1"/>
  </w:style>
  <w:style w:type="character" w:customStyle="1" w:styleId="llbChar">
    <w:name w:val="Élőláb Char"/>
    <w:basedOn w:val="Bekezdsalapbettpusa1"/>
  </w:style>
  <w:style w:type="character" w:customStyle="1" w:styleId="BuborkszvegChar">
    <w:name w:val="Buborékszöveg Char"/>
    <w:rPr>
      <w:rFonts w:ascii="Tahoma" w:hAnsi="Tahoma" w:cs="Tahoma"/>
      <w:sz w:val="16"/>
      <w:szCs w:val="16"/>
    </w:rPr>
  </w:style>
  <w:style w:type="character" w:styleId="Hiperhivatkozs">
    <w:name w:val="Hyperlink"/>
    <w:rPr>
      <w:color w:val="0000FF"/>
      <w:u w:val="single"/>
    </w:rPr>
  </w:style>
  <w:style w:type="character" w:customStyle="1" w:styleId="structbekezdesszam">
    <w:name w:val="struct_bekezdesszam"/>
    <w:basedOn w:val="Bekezdsalapbettpusa1"/>
  </w:style>
  <w:style w:type="character" w:customStyle="1" w:styleId="structpontnev">
    <w:name w:val="struct_pontnev"/>
    <w:basedOn w:val="Bekezdsalapbettpusa1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</w:style>
  <w:style w:type="paragraph" w:styleId="lfej">
    <w:name w:val="header"/>
    <w:basedOn w:val="Norml"/>
    <w:pPr>
      <w:spacing w:after="0" w:line="240" w:lineRule="auto"/>
    </w:pPr>
  </w:style>
  <w:style w:type="paragraph" w:styleId="llb">
    <w:name w:val="footer"/>
    <w:basedOn w:val="Norml"/>
    <w:pPr>
      <w:spacing w:after="0" w:line="240" w:lineRule="auto"/>
    </w:pPr>
  </w:style>
  <w:style w:type="paragraph" w:styleId="Buborkszveg">
    <w:name w:val="Balloon Text"/>
    <w:basedOn w:val="Norm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qFormat/>
    <w:pPr>
      <w:ind w:left="720"/>
    </w:pPr>
  </w:style>
  <w:style w:type="paragraph" w:styleId="NormlWeb">
    <w:name w:val="Normal (Web)"/>
    <w:basedOn w:val="Norml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customStyle="1" w:styleId="Idzetblokk">
    <w:name w:val="Idézetblokk"/>
    <w:basedOn w:val="Norml"/>
    <w:pPr>
      <w:spacing w:after="283"/>
      <w:ind w:left="567" w:right="567"/>
    </w:pPr>
  </w:style>
  <w:style w:type="paragraph" w:styleId="Cm">
    <w:name w:val="Title"/>
    <w:basedOn w:val="Cmsor"/>
    <w:next w:val="Szvegtrzs"/>
    <w:qFormat/>
    <w:pPr>
      <w:jc w:val="center"/>
    </w:pPr>
    <w:rPr>
      <w:b/>
      <w:bCs/>
      <w:sz w:val="56"/>
      <w:szCs w:val="56"/>
    </w:rPr>
  </w:style>
  <w:style w:type="paragraph" w:styleId="Alcm">
    <w:name w:val="Subtitle"/>
    <w:basedOn w:val="Cmsor"/>
    <w:next w:val="Szvegtrzs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4277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4887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Kissebbségi Önkormányzat</dc:creator>
  <cp:keywords/>
  <dc:description/>
  <cp:lastModifiedBy>Virag</cp:lastModifiedBy>
  <cp:revision>3</cp:revision>
  <cp:lastPrinted>2016-01-25T07:13:00Z</cp:lastPrinted>
  <dcterms:created xsi:type="dcterms:W3CDTF">2019-12-02T13:24:00Z</dcterms:created>
  <dcterms:modified xsi:type="dcterms:W3CDTF">2019-12-02T14:44:00Z</dcterms:modified>
</cp:coreProperties>
</file>